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B7A7ED7" w14:textId="5560F8E9" w:rsidR="00F352EC" w:rsidRPr="00F352EC" w:rsidRDefault="00832E31" w:rsidP="00832E31">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50325C">
        <w:rPr>
          <w:b/>
          <w:bCs/>
          <w:lang w:eastAsia="zh-CN"/>
        </w:rPr>
        <w:t>1</w:t>
      </w:r>
      <w:r>
        <w:rPr>
          <w:b/>
          <w:bCs/>
          <w:lang w:eastAsia="zh-CN"/>
        </w:rPr>
        <w:t>0</w:t>
      </w:r>
      <w:r w:rsidR="004246BE">
        <w:rPr>
          <w:b/>
          <w:bCs/>
          <w:lang w:eastAsia="zh-CN"/>
        </w:rPr>
        <w:t>bis</w:t>
      </w:r>
      <w:proofErr w:type="gramStart"/>
      <w:r w:rsidRPr="002D3C03">
        <w:rPr>
          <w:b/>
          <w:kern w:val="2"/>
          <w:lang w:eastAsia="zh-CN"/>
        </w:rPr>
        <w:tab/>
      </w:r>
      <w:r>
        <w:rPr>
          <w:b/>
          <w:kern w:val="2"/>
          <w:lang w:eastAsia="zh-CN"/>
        </w:rPr>
        <w:t xml:space="preserve">  </w:t>
      </w:r>
      <w:r w:rsidR="00F352EC" w:rsidRPr="00F352EC">
        <w:rPr>
          <w:b/>
          <w:kern w:val="2"/>
          <w:lang w:eastAsia="zh-CN"/>
        </w:rPr>
        <w:t>R</w:t>
      </w:r>
      <w:proofErr w:type="gramEnd"/>
      <w:r w:rsidR="00F352EC" w:rsidRPr="00F352EC">
        <w:rPr>
          <w:b/>
          <w:kern w:val="2"/>
          <w:lang w:eastAsia="zh-CN"/>
        </w:rPr>
        <w:t>4-240514</w:t>
      </w:r>
      <w:r w:rsidR="00F352EC">
        <w:rPr>
          <w:b/>
          <w:kern w:val="2"/>
          <w:lang w:eastAsia="zh-CN"/>
        </w:rPr>
        <w:t>9</w:t>
      </w:r>
      <w:bookmarkStart w:id="1" w:name="_GoBack"/>
      <w:bookmarkEnd w:id="1"/>
    </w:p>
    <w:p w14:paraId="693A309F" w14:textId="28B5C3B4" w:rsidR="0050325C" w:rsidRPr="00BD6520" w:rsidRDefault="00B60C77" w:rsidP="0050325C">
      <w:pPr>
        <w:rPr>
          <w:b/>
          <w:bCs/>
          <w:vertAlign w:val="superscript"/>
          <w:lang w:eastAsia="zh-CN"/>
        </w:rPr>
      </w:pPr>
      <w:r w:rsidRPr="00454D79">
        <w:rPr>
          <w:rFonts w:eastAsia="宋体"/>
          <w:b/>
          <w:bCs/>
          <w:lang w:eastAsia="zh-CN"/>
        </w:rPr>
        <w:t>Changsha, China, 15 – 19 April,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5A34EC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B60C77">
        <w:rPr>
          <w:b/>
          <w:kern w:val="2"/>
          <w:lang w:eastAsia="zh-CN"/>
        </w:rPr>
        <w:t>9.</w:t>
      </w:r>
      <w:r w:rsidR="00A23B84">
        <w:rPr>
          <w:b/>
          <w:kern w:val="2"/>
          <w:lang w:eastAsia="zh-CN"/>
        </w:rPr>
        <w:t>11</w:t>
      </w:r>
      <w:r w:rsidR="0071509B" w:rsidRPr="0071509B">
        <w:rPr>
          <w:b/>
          <w:kern w:val="2"/>
          <w:lang w:eastAsia="zh-CN"/>
        </w:rPr>
        <w:t>.</w:t>
      </w:r>
      <w:r w:rsidR="00A23B84">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F9B73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937E5" w:rsidRPr="001937E5">
        <w:rPr>
          <w:b/>
          <w:kern w:val="2"/>
          <w:lang w:eastAsia="zh-CN"/>
        </w:rPr>
        <w:t xml:space="preserve">Testability and interoperability issues for 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1046630D" w14:textId="0D89B7A0" w:rsidR="001204FE" w:rsidRDefault="001204FE" w:rsidP="001204FE">
      <w:pPr>
        <w:overflowPunct w:val="0"/>
        <w:snapToGrid/>
        <w:textAlignment w:val="baseline"/>
        <w:rPr>
          <w:lang w:eastAsia="zh-CN"/>
        </w:rPr>
      </w:pPr>
      <w:r>
        <w:rPr>
          <w:lang w:eastAsia="zh-CN"/>
        </w:rPr>
        <w:t xml:space="preserve">In [1], a new WID is approved, where RAN4 is required to </w:t>
      </w:r>
      <w:r w:rsidR="00FE5542">
        <w:rPr>
          <w:lang w:eastAsia="zh-CN"/>
        </w:rPr>
        <w:t xml:space="preserve">specify </w:t>
      </w:r>
      <w:r w:rsidR="00FE5542" w:rsidRPr="00FE5542">
        <w:rPr>
          <w:lang w:eastAsia="zh-CN"/>
        </w:rPr>
        <w:t>core requirements for AIML-enabled beam management and positioning accuracy enhancement</w:t>
      </w:r>
      <w:r>
        <w:rPr>
          <w:lang w:eastAsia="zh-CN"/>
        </w:rPr>
        <w:t xml:space="preserve">. </w:t>
      </w:r>
    </w:p>
    <w:p w14:paraId="77529148" w14:textId="118CB85F" w:rsidR="001204FE" w:rsidRDefault="001204FE" w:rsidP="001204FE">
      <w:pPr>
        <w:overflowPunct w:val="0"/>
        <w:snapToGrid/>
        <w:textAlignment w:val="baseline"/>
        <w:rPr>
          <w:lang w:eastAsia="zh-CN"/>
        </w:rPr>
      </w:pPr>
      <w:r>
        <w:rPr>
          <w:lang w:eastAsia="zh-CN"/>
        </w:rPr>
        <w:t xml:space="preserve">According to the TR 38.843 [2], potential </w:t>
      </w:r>
      <w:r w:rsidR="00FE5542">
        <w:rPr>
          <w:lang w:eastAsia="zh-CN"/>
        </w:rPr>
        <w:t>test metrics are identified for beam management</w:t>
      </w:r>
      <w:r>
        <w:rPr>
          <w:lang w:eastAsia="zh-CN"/>
        </w:rPr>
        <w:t xml:space="preserve">. The testability and necessity of each identified test metric needs further justification. </w:t>
      </w:r>
    </w:p>
    <w:p w14:paraId="359C73C3" w14:textId="194AADB7" w:rsidR="001204FE" w:rsidRPr="00D20BAC" w:rsidRDefault="001204FE" w:rsidP="001204FE">
      <w:pPr>
        <w:overflowPunct w:val="0"/>
        <w:snapToGrid/>
        <w:textAlignment w:val="baseline"/>
        <w:rPr>
          <w:lang w:eastAsia="en-GB"/>
        </w:rPr>
      </w:pPr>
      <w:r>
        <w:rPr>
          <w:lang w:eastAsia="en-GB"/>
        </w:rPr>
        <w:t xml:space="preserve">In this contribution, both the </w:t>
      </w:r>
      <w:r w:rsidR="00FE5542">
        <w:rPr>
          <w:lang w:eastAsia="en-GB"/>
        </w:rPr>
        <w:t>beam management specific core requirement</w:t>
      </w:r>
      <w:r>
        <w:rPr>
          <w:lang w:eastAsia="en-GB"/>
        </w:rPr>
        <w:t xml:space="preserve"> and testability of test metrics are analyzed. </w:t>
      </w:r>
    </w:p>
    <w:p w14:paraId="0977F727" w14:textId="742498F8" w:rsidR="00FE5542" w:rsidRPr="00FE5542" w:rsidRDefault="00FE5542" w:rsidP="00FE5542">
      <w:pPr>
        <w:pStyle w:val="Heading1"/>
        <w:numPr>
          <w:ilvl w:val="0"/>
          <w:numId w:val="8"/>
        </w:numPr>
        <w:ind w:left="426"/>
      </w:pPr>
      <w:r>
        <w:t>Core</w:t>
      </w:r>
      <w:r w:rsidR="003A7871" w:rsidRPr="00F10401">
        <w:t xml:space="preserve"> </w:t>
      </w:r>
      <w:r>
        <w:t xml:space="preserve">requirements </w:t>
      </w:r>
      <w:r w:rsidR="003A7871" w:rsidRPr="00F10401">
        <w:t xml:space="preserve">for </w:t>
      </w:r>
      <w:r w:rsidR="009B100F">
        <w:t>LCM procedures</w:t>
      </w:r>
    </w:p>
    <w:tbl>
      <w:tblPr>
        <w:tblStyle w:val="TableGrid"/>
        <w:tblW w:w="0" w:type="auto"/>
        <w:tblLook w:val="04A0" w:firstRow="1" w:lastRow="0" w:firstColumn="1" w:lastColumn="0" w:noHBand="0" w:noVBand="1"/>
      </w:tblPr>
      <w:tblGrid>
        <w:gridCol w:w="9307"/>
      </w:tblGrid>
      <w:tr w:rsidR="00F37534" w14:paraId="2232C273" w14:textId="77777777" w:rsidTr="00FE5542">
        <w:tc>
          <w:tcPr>
            <w:tcW w:w="9307" w:type="dxa"/>
          </w:tcPr>
          <w:p w14:paraId="4377D6AD" w14:textId="6C5B5844" w:rsidR="00FE5542" w:rsidRDefault="00E054EB" w:rsidP="00E054EB">
            <w:pPr>
              <w:spacing w:after="0"/>
              <w:ind w:left="60"/>
              <w:rPr>
                <w:rFonts w:eastAsia="Yu Mincho"/>
                <w:sz w:val="16"/>
                <w:szCs w:val="20"/>
                <w:lang w:eastAsia="ja-JP"/>
              </w:rPr>
            </w:pPr>
            <w:r>
              <w:rPr>
                <w:rFonts w:eastAsia="Yu Mincho"/>
                <w:sz w:val="16"/>
                <w:szCs w:val="20"/>
                <w:lang w:eastAsia="ja-JP"/>
              </w:rPr>
              <w:t>R19 SID on AIML</w:t>
            </w:r>
            <w:r w:rsidR="00FE5542" w:rsidRPr="00FE5542">
              <w:rPr>
                <w:rFonts w:eastAsia="Yu Mincho"/>
                <w:sz w:val="16"/>
                <w:szCs w:val="20"/>
                <w:lang w:eastAsia="ja-JP"/>
              </w:rPr>
              <w:t xml:space="preserve"> [</w:t>
            </w:r>
            <w:r>
              <w:rPr>
                <w:rFonts w:eastAsia="Yu Mincho"/>
                <w:sz w:val="16"/>
                <w:szCs w:val="20"/>
                <w:lang w:eastAsia="ja-JP"/>
              </w:rPr>
              <w:t>1</w:t>
            </w:r>
            <w:r w:rsidR="00FE5542" w:rsidRPr="00FE5542">
              <w:rPr>
                <w:rFonts w:eastAsia="Yu Mincho"/>
                <w:sz w:val="16"/>
                <w:szCs w:val="20"/>
                <w:lang w:eastAsia="ja-JP"/>
              </w:rPr>
              <w:t>]:</w:t>
            </w:r>
          </w:p>
          <w:p w14:paraId="687EB69C" w14:textId="77777777" w:rsidR="00E054EB" w:rsidRPr="00E054EB" w:rsidRDefault="00E054EB" w:rsidP="00E054EB">
            <w:pPr>
              <w:numPr>
                <w:ilvl w:val="0"/>
                <w:numId w:val="48"/>
              </w:numPr>
              <w:overflowPunct w:val="0"/>
              <w:snapToGrid/>
              <w:spacing w:after="0"/>
              <w:jc w:val="left"/>
              <w:textAlignment w:val="baseline"/>
              <w:rPr>
                <w:bCs/>
                <w:sz w:val="16"/>
                <w:szCs w:val="16"/>
              </w:rPr>
            </w:pPr>
            <w:r w:rsidRPr="00E054EB">
              <w:rPr>
                <w:rFonts w:eastAsia="Batang"/>
                <w:sz w:val="16"/>
                <w:szCs w:val="16"/>
                <w:lang w:eastAsia="x-none"/>
              </w:rPr>
              <w:t xml:space="preserve">Core requirements for </w:t>
            </w:r>
            <w:r w:rsidRPr="00E054EB">
              <w:rPr>
                <w:bCs/>
                <w:sz w:val="16"/>
                <w:szCs w:val="16"/>
              </w:rPr>
              <w:t xml:space="preserve">the above two use cases for AI/ML </w:t>
            </w:r>
            <w:r w:rsidRPr="00E054EB">
              <w:rPr>
                <w:rFonts w:eastAsia="Batang"/>
                <w:sz w:val="16"/>
                <w:szCs w:val="16"/>
                <w:lang w:eastAsia="x-none"/>
              </w:rPr>
              <w:t>LCM procedures and UE features [RAN4]:</w:t>
            </w:r>
          </w:p>
          <w:p w14:paraId="6030664C" w14:textId="77777777" w:rsidR="00E054EB" w:rsidRPr="00E054EB" w:rsidRDefault="00E054EB" w:rsidP="00E054EB">
            <w:pPr>
              <w:numPr>
                <w:ilvl w:val="1"/>
                <w:numId w:val="48"/>
              </w:numPr>
              <w:overflowPunct w:val="0"/>
              <w:snapToGrid/>
              <w:spacing w:after="0"/>
              <w:jc w:val="left"/>
              <w:textAlignment w:val="baseline"/>
              <w:rPr>
                <w:bCs/>
                <w:sz w:val="16"/>
                <w:szCs w:val="16"/>
              </w:rPr>
            </w:pPr>
            <w:r w:rsidRPr="00E054EB">
              <w:rPr>
                <w:bCs/>
                <w:sz w:val="16"/>
                <w:szCs w:val="16"/>
              </w:rPr>
              <w:t>Specify necessary RAN4 core requirements for the above two use cases.</w:t>
            </w:r>
          </w:p>
          <w:p w14:paraId="4632B411" w14:textId="474570C4" w:rsidR="00F37534" w:rsidRPr="00E054EB" w:rsidRDefault="00E054EB" w:rsidP="00E054EB">
            <w:pPr>
              <w:numPr>
                <w:ilvl w:val="1"/>
                <w:numId w:val="48"/>
              </w:numPr>
              <w:overflowPunct w:val="0"/>
              <w:snapToGrid/>
              <w:spacing w:after="0"/>
              <w:jc w:val="left"/>
              <w:textAlignment w:val="baseline"/>
              <w:rPr>
                <w:bCs/>
              </w:rPr>
            </w:pPr>
            <w:r w:rsidRPr="00E054EB">
              <w:rPr>
                <w:rFonts w:eastAsia="Batang"/>
                <w:sz w:val="16"/>
                <w:szCs w:val="16"/>
                <w:lang w:eastAsia="x-none"/>
              </w:rPr>
              <w:t>Specify necessary RAN4 core requirements for LCM procedures including performance monitoring.</w:t>
            </w:r>
          </w:p>
        </w:tc>
      </w:tr>
    </w:tbl>
    <w:p w14:paraId="71D6CBED" w14:textId="455BE46C" w:rsidR="00F37534" w:rsidRPr="00F37534" w:rsidRDefault="0016730C" w:rsidP="00E054EB">
      <w:pPr>
        <w:spacing w:before="120"/>
        <w:rPr>
          <w:lang w:eastAsia="zh-CN"/>
        </w:rPr>
      </w:pPr>
      <w:r>
        <w:rPr>
          <w:lang w:eastAsia="zh-CN"/>
        </w:rPr>
        <w:t xml:space="preserve">It is noticed that RAN1/2 will </w:t>
      </w:r>
      <w:r>
        <w:rPr>
          <w:bCs/>
        </w:rPr>
        <w:t>s</w:t>
      </w:r>
      <w:r w:rsidRPr="00F03FD6">
        <w:rPr>
          <w:bCs/>
        </w:rPr>
        <w:t xml:space="preserve">pecify necessary </w:t>
      </w:r>
      <w:proofErr w:type="spellStart"/>
      <w:r w:rsidRPr="00F03FD6">
        <w:rPr>
          <w:bCs/>
        </w:rPr>
        <w:t>signalling</w:t>
      </w:r>
      <w:proofErr w:type="spellEnd"/>
      <w:r w:rsidRPr="00F03FD6">
        <w:rPr>
          <w:bCs/>
        </w:rPr>
        <w:t xml:space="preserve">/mechanism(s) to facilitate LCM operations specific to the </w:t>
      </w:r>
      <w:r w:rsidR="00C055CC">
        <w:rPr>
          <w:bCs/>
        </w:rPr>
        <w:t>b</w:t>
      </w:r>
      <w:r w:rsidRPr="00F03FD6">
        <w:rPr>
          <w:bCs/>
        </w:rPr>
        <w:t xml:space="preserve">eam </w:t>
      </w:r>
      <w:r w:rsidR="00C055CC">
        <w:rPr>
          <w:bCs/>
        </w:rPr>
        <w:t>m</w:t>
      </w:r>
      <w:r w:rsidRPr="00F03FD6">
        <w:rPr>
          <w:bCs/>
        </w:rPr>
        <w:t>anagement use cases, if any</w:t>
      </w:r>
      <w:r>
        <w:rPr>
          <w:bCs/>
        </w:rPr>
        <w:t xml:space="preserve">. RAN4 can start investigating </w:t>
      </w:r>
      <w:r w:rsidR="00C055CC">
        <w:rPr>
          <w:bCs/>
        </w:rPr>
        <w:t>associated core requi</w:t>
      </w:r>
      <w:r w:rsidR="00A116E1">
        <w:rPr>
          <w:bCs/>
        </w:rPr>
        <w:t>r</w:t>
      </w:r>
      <w:r w:rsidR="00C055CC">
        <w:rPr>
          <w:bCs/>
        </w:rPr>
        <w:t xml:space="preserve">ements </w:t>
      </w:r>
      <w:r>
        <w:rPr>
          <w:bCs/>
        </w:rPr>
        <w:t>after achieving sufficient input from other WGs.</w:t>
      </w:r>
    </w:p>
    <w:p w14:paraId="128A6079" w14:textId="63E63822" w:rsidR="00FE5542" w:rsidRPr="00FE5542" w:rsidRDefault="00FE5542" w:rsidP="00FE5542">
      <w:pPr>
        <w:pStyle w:val="Heading1"/>
        <w:numPr>
          <w:ilvl w:val="0"/>
          <w:numId w:val="8"/>
        </w:numPr>
        <w:ind w:left="426"/>
      </w:pPr>
      <w:r>
        <w:t xml:space="preserve">Test metrics </w:t>
      </w:r>
      <w:r w:rsidRPr="00F10401">
        <w:t xml:space="preserve">for </w:t>
      </w:r>
      <w:r>
        <w:t>beam management</w:t>
      </w:r>
    </w:p>
    <w:tbl>
      <w:tblPr>
        <w:tblStyle w:val="TableGrid"/>
        <w:tblW w:w="0" w:type="auto"/>
        <w:tblLook w:val="04A0" w:firstRow="1" w:lastRow="0" w:firstColumn="1" w:lastColumn="0" w:noHBand="0" w:noVBand="1"/>
      </w:tblPr>
      <w:tblGrid>
        <w:gridCol w:w="9307"/>
      </w:tblGrid>
      <w:tr w:rsidR="00FE5542" w14:paraId="42FBFC54" w14:textId="77777777" w:rsidTr="00B7741A">
        <w:tc>
          <w:tcPr>
            <w:tcW w:w="9307" w:type="dxa"/>
          </w:tcPr>
          <w:p w14:paraId="61A3BA27" w14:textId="77777777" w:rsidR="00FE5542" w:rsidRDefault="00FE5542" w:rsidP="00B7741A">
            <w:pPr>
              <w:ind w:left="60"/>
              <w:rPr>
                <w:rFonts w:eastAsia="Yu Mincho"/>
                <w:sz w:val="16"/>
                <w:szCs w:val="20"/>
                <w:lang w:eastAsia="ja-JP"/>
              </w:rPr>
            </w:pPr>
            <w:r w:rsidRPr="00FE5542">
              <w:rPr>
                <w:rFonts w:eastAsia="Yu Mincho"/>
                <w:sz w:val="16"/>
                <w:szCs w:val="20"/>
                <w:lang w:eastAsia="ja-JP"/>
              </w:rPr>
              <w:t>TR 38.843 [2]:</w:t>
            </w:r>
          </w:p>
          <w:p w14:paraId="61294CD9" w14:textId="77777777" w:rsidR="00FE5542" w:rsidRPr="00FE5542" w:rsidRDefault="00FE5542" w:rsidP="00B7741A">
            <w:pPr>
              <w:spacing w:after="0"/>
              <w:ind w:left="60"/>
              <w:rPr>
                <w:sz w:val="16"/>
                <w:szCs w:val="16"/>
              </w:rPr>
            </w:pPr>
            <w:r w:rsidRPr="00FE5542">
              <w:rPr>
                <w:sz w:val="16"/>
                <w:szCs w:val="16"/>
              </w:rPr>
              <w:t xml:space="preserve">For metrics for beam management </w:t>
            </w:r>
            <w:r w:rsidRPr="00FE5542">
              <w:rPr>
                <w:sz w:val="16"/>
                <w:szCs w:val="16"/>
                <w:lang w:eastAsia="zh-CN"/>
              </w:rPr>
              <w:t>requirements/tests</w:t>
            </w:r>
            <w:r w:rsidRPr="00FE5542">
              <w:rPr>
                <w:sz w:val="16"/>
                <w:szCs w:val="16"/>
              </w:rPr>
              <w:t>, the following test metrics are identified and could be considered</w:t>
            </w:r>
          </w:p>
          <w:p w14:paraId="08760324"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1: RSRP accuracy</w:t>
            </w:r>
          </w:p>
          <w:p w14:paraId="32633B8B"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2: Beam prediction accuracy</w:t>
            </w:r>
          </w:p>
          <w:p w14:paraId="23F01791" w14:textId="6B75DB66"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 (%): the percentage of “the Top-1 strongest beam is Top-1 predicted beam”</w:t>
            </w:r>
          </w:p>
          <w:p w14:paraId="4CC4E7DF" w14:textId="236ED9E8"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Top-K/1 (%): the percentage of “the Top-1 strongest beam is one of the Top-K predicted beams”</w:t>
            </w:r>
          </w:p>
          <w:p w14:paraId="390039D1" w14:textId="6EAA6AE0"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Top-1/K (%): the percentage of “the Top-1 predicted beam is one of the Top-K strongest beams”</w:t>
            </w:r>
          </w:p>
          <w:p w14:paraId="58B6DEAA"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 xml:space="preserve">Option 3: The successful rate for the correct prediction which is considered as maximum RSRP among top-K predicted beams is larger than the RSRP of the strongest beam – x dB, </w:t>
            </w:r>
          </w:p>
          <w:p w14:paraId="7A89147E" w14:textId="77777777"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Related measurement accuracy can be considered to determine x</w:t>
            </w:r>
          </w:p>
          <w:p w14:paraId="77E425D3"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4: combinations of above options</w:t>
            </w:r>
          </w:p>
          <w:p w14:paraId="068BF9D4" w14:textId="77777777" w:rsidR="00FE5542" w:rsidRPr="00FE5542" w:rsidRDefault="00FE5542" w:rsidP="00B7741A">
            <w:pPr>
              <w:spacing w:after="0"/>
              <w:rPr>
                <w:lang w:eastAsia="ja-JP"/>
              </w:rPr>
            </w:pPr>
            <w:r w:rsidRPr="00FE5542">
              <w:rPr>
                <w:sz w:val="16"/>
                <w:szCs w:val="16"/>
                <w:lang w:eastAsia="ja-JP"/>
              </w:rPr>
              <w:t>The overhead/latency reduction should be considered for the requirements as the side condition.</w:t>
            </w:r>
            <w:r w:rsidRPr="00887419">
              <w:rPr>
                <w:lang w:eastAsia="ja-JP"/>
              </w:rPr>
              <w:t xml:space="preserve"> </w:t>
            </w:r>
          </w:p>
        </w:tc>
      </w:tr>
    </w:tbl>
    <w:p w14:paraId="031D42D0" w14:textId="33A366C5" w:rsidR="00FE5542" w:rsidRPr="00FE5542" w:rsidRDefault="00FE5542" w:rsidP="00FE5542">
      <w:pPr>
        <w:pStyle w:val="ListParagraph"/>
        <w:numPr>
          <w:ilvl w:val="0"/>
          <w:numId w:val="47"/>
        </w:numPr>
        <w:spacing w:before="120"/>
        <w:rPr>
          <w:rFonts w:ascii="Times New Roman" w:hAnsi="Times New Roman" w:cs="Times New Roman"/>
        </w:rPr>
      </w:pPr>
      <w:r w:rsidRPr="00FE5542">
        <w:rPr>
          <w:rFonts w:ascii="Times New Roman" w:hAnsi="Times New Roman" w:cs="Times New Roman"/>
        </w:rPr>
        <w:t>NW-sided model</w:t>
      </w:r>
    </w:p>
    <w:p w14:paraId="071ACFA9" w14:textId="7BE3491C" w:rsidR="00FE5542" w:rsidRDefault="00FE5542" w:rsidP="00FE5542">
      <w:pPr>
        <w:spacing w:before="120"/>
        <w:rPr>
          <w:lang w:eastAsia="zh-CN"/>
        </w:rPr>
      </w:pPr>
      <w:r>
        <w:rPr>
          <w:lang w:eastAsia="zh-CN"/>
        </w:rPr>
        <w:t xml:space="preserve">For NW-sided beam prediction, the UE is required to report Top-K RSRP of beams within Set B. </w:t>
      </w:r>
      <w:r w:rsidR="0036790C">
        <w:rPr>
          <w:lang w:eastAsia="zh-CN"/>
        </w:rPr>
        <w:t>The requirement of RSRP measurement reporting can reuse RAN4 legacy.</w:t>
      </w:r>
    </w:p>
    <w:p w14:paraId="0676172E" w14:textId="2B130318" w:rsidR="0036790C" w:rsidRPr="008F762A" w:rsidRDefault="0036790C" w:rsidP="0036790C">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For NW-sided beam prediction</w:t>
      </w:r>
      <w:r>
        <w:rPr>
          <w:b/>
          <w:i/>
        </w:rPr>
        <w:t xml:space="preserve">, the </w:t>
      </w:r>
      <w:r w:rsidRPr="0036790C">
        <w:rPr>
          <w:b/>
          <w:i/>
        </w:rPr>
        <w:t>requirement of RSRP measurement reporting reuse</w:t>
      </w:r>
      <w:r w:rsidR="00A116E1">
        <w:rPr>
          <w:b/>
          <w:i/>
        </w:rPr>
        <w:t>s</w:t>
      </w:r>
      <w:r w:rsidRPr="0036790C">
        <w:rPr>
          <w:b/>
          <w:i/>
        </w:rPr>
        <w:t xml:space="preserve"> RAN4 legacy</w:t>
      </w:r>
      <w:r>
        <w:rPr>
          <w:b/>
          <w:i/>
        </w:rPr>
        <w:t>.</w:t>
      </w:r>
    </w:p>
    <w:p w14:paraId="43E5161B" w14:textId="25A9A925" w:rsidR="0036790C" w:rsidRPr="00FE5542" w:rsidRDefault="0036790C" w:rsidP="0036790C">
      <w:pPr>
        <w:pStyle w:val="ListParagraph"/>
        <w:numPr>
          <w:ilvl w:val="0"/>
          <w:numId w:val="47"/>
        </w:numPr>
        <w:spacing w:before="120"/>
        <w:rPr>
          <w:rFonts w:ascii="Times New Roman" w:hAnsi="Times New Roman" w:cs="Times New Roman"/>
        </w:rPr>
      </w:pPr>
      <w:r>
        <w:rPr>
          <w:rFonts w:ascii="Times New Roman" w:hAnsi="Times New Roman" w:cs="Times New Roman"/>
        </w:rPr>
        <w:t>UE</w:t>
      </w:r>
      <w:r w:rsidRPr="00FE5542">
        <w:rPr>
          <w:rFonts w:ascii="Times New Roman" w:hAnsi="Times New Roman" w:cs="Times New Roman"/>
        </w:rPr>
        <w:t>-sided model</w:t>
      </w:r>
    </w:p>
    <w:p w14:paraId="5E466901" w14:textId="77777777" w:rsidR="0036790C" w:rsidRDefault="0036790C" w:rsidP="00FE5542">
      <w:pPr>
        <w:spacing w:before="120"/>
        <w:rPr>
          <w:lang w:eastAsia="zh-CN"/>
        </w:rPr>
      </w:pPr>
      <w:r>
        <w:rPr>
          <w:lang w:eastAsia="zh-CN"/>
        </w:rPr>
        <w:t>For UE-sided beam prediction, the UE may report the predicted Top-K beam index, or the Top-K beam index with associated RSRP of beams within Set A. The content and format of report will be specified in other WGs.</w:t>
      </w:r>
    </w:p>
    <w:p w14:paraId="3AE5ED8D" w14:textId="1E60DCA8" w:rsidR="0036790C" w:rsidRDefault="0036790C" w:rsidP="00FE5542">
      <w:pPr>
        <w:spacing w:before="120"/>
        <w:rPr>
          <w:lang w:eastAsia="zh-CN"/>
        </w:rPr>
      </w:pPr>
      <w:r>
        <w:rPr>
          <w:lang w:eastAsia="zh-CN"/>
        </w:rPr>
        <w:t xml:space="preserve">Independent of the details in predicted reporting, Option 1 is testable if the consistency </w:t>
      </w:r>
      <w:r w:rsidRPr="0036790C">
        <w:rPr>
          <w:lang w:eastAsia="zh-CN"/>
        </w:rPr>
        <w:t>between training and inference</w:t>
      </w:r>
      <w:r>
        <w:rPr>
          <w:lang w:eastAsia="zh-CN"/>
        </w:rPr>
        <w:t xml:space="preserve"> can be ensured. Since compared to Options 2 and 3, </w:t>
      </w:r>
      <w:r w:rsidR="009B100F">
        <w:rPr>
          <w:lang w:eastAsia="zh-CN"/>
        </w:rPr>
        <w:t xml:space="preserve">in Option 1, </w:t>
      </w:r>
      <w:r>
        <w:rPr>
          <w:lang w:eastAsia="zh-CN"/>
        </w:rPr>
        <w:t xml:space="preserve">there is no need to </w:t>
      </w:r>
      <w:r w:rsidR="009B100F">
        <w:rPr>
          <w:lang w:eastAsia="zh-CN"/>
        </w:rPr>
        <w:t>obtain</w:t>
      </w:r>
      <w:r>
        <w:rPr>
          <w:lang w:eastAsia="zh-CN"/>
        </w:rPr>
        <w:t xml:space="preserve"> the ground truth of the best beam ID or the largest RSRP. </w:t>
      </w:r>
      <w:r w:rsidR="008808A5">
        <w:rPr>
          <w:lang w:eastAsia="zh-CN"/>
        </w:rPr>
        <w:t xml:space="preserve">The test methodology </w:t>
      </w:r>
      <w:r w:rsidR="009B100F">
        <w:rPr>
          <w:lang w:eastAsia="zh-CN"/>
        </w:rPr>
        <w:t>could</w:t>
      </w:r>
      <w:r w:rsidR="008808A5">
        <w:rPr>
          <w:lang w:eastAsia="zh-CN"/>
        </w:rPr>
        <w:t xml:space="preserve"> be that the TE uses the beams that are predicted by DUT </w:t>
      </w:r>
      <w:r w:rsidR="009B100F">
        <w:rPr>
          <w:lang w:eastAsia="zh-CN"/>
        </w:rPr>
        <w:t>for transmission</w:t>
      </w:r>
      <w:r w:rsidR="008808A5">
        <w:rPr>
          <w:lang w:eastAsia="zh-CN"/>
        </w:rPr>
        <w:t xml:space="preserve">. The DUT passes the test if the received RSRP is larger than a pre-defined threshold. </w:t>
      </w:r>
    </w:p>
    <w:p w14:paraId="2108BA28" w14:textId="136A8511" w:rsidR="00237CF0" w:rsidRPr="008F762A" w:rsidRDefault="00237CF0" w:rsidP="00237CF0">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Pr>
          <w:b/>
          <w:i/>
        </w:rPr>
        <w:t>For UE-sided beam prediction, take Option 1 as baseline to ensure that the received RSRP is larger than a pre-defined threshold, if TE use</w:t>
      </w:r>
      <w:r w:rsidR="00A116E1">
        <w:rPr>
          <w:b/>
          <w:i/>
        </w:rPr>
        <w:t>s</w:t>
      </w:r>
      <w:r>
        <w:rPr>
          <w:b/>
          <w:i/>
        </w:rPr>
        <w:t xml:space="preserve"> the predicted beam for DL transmission.</w:t>
      </w:r>
    </w:p>
    <w:p w14:paraId="3393453C" w14:textId="77777777" w:rsidR="00303329" w:rsidRDefault="009B100F" w:rsidP="00FE5542">
      <w:pPr>
        <w:spacing w:before="120"/>
        <w:rPr>
          <w:lang w:eastAsia="zh-CN"/>
        </w:rPr>
      </w:pPr>
      <w:r>
        <w:rPr>
          <w:lang w:eastAsia="zh-CN"/>
        </w:rPr>
        <w:t xml:space="preserve">It is known that tolerances are specified regarding UE measurement accuracy in RAN4. This tolerance has an impact on the beam prediction accuracy. </w:t>
      </w:r>
    </w:p>
    <w:p w14:paraId="0D966BC5" w14:textId="2B578B2D" w:rsidR="0036790C" w:rsidRDefault="00303329" w:rsidP="00FE5542">
      <w:pPr>
        <w:spacing w:before="120"/>
        <w:rPr>
          <w:lang w:eastAsia="zh-CN"/>
        </w:rPr>
      </w:pPr>
      <w:r>
        <w:rPr>
          <w:lang w:eastAsia="zh-CN"/>
        </w:rPr>
        <w:t>The test metric</w:t>
      </w:r>
      <w:r w:rsidRPr="009B100F">
        <w:rPr>
          <w:lang w:eastAsia="zh-CN"/>
        </w:rPr>
        <w:t xml:space="preserve"> </w:t>
      </w:r>
      <w:r>
        <w:rPr>
          <w:lang w:eastAsia="zh-CN"/>
        </w:rPr>
        <w:t>in Option 2 is not applicable if the beam measurement accuracy tolerance is not considered. For example</w:t>
      </w:r>
      <w:r w:rsidR="009B100F">
        <w:rPr>
          <w:lang w:eastAsia="zh-CN"/>
        </w:rPr>
        <w:t xml:space="preserve">, the test metric - </w:t>
      </w:r>
      <w:r w:rsidR="009B100F" w:rsidRPr="009B100F">
        <w:rPr>
          <w:lang w:eastAsia="zh-CN"/>
        </w:rPr>
        <w:t>Top-1 (%)</w:t>
      </w:r>
      <w:r w:rsidR="009B100F">
        <w:rPr>
          <w:lang w:eastAsia="zh-CN"/>
        </w:rPr>
        <w:t xml:space="preserve"> b</w:t>
      </w:r>
      <w:r w:rsidR="009B100F" w:rsidRPr="009B100F">
        <w:rPr>
          <w:lang w:eastAsia="zh-CN"/>
        </w:rPr>
        <w:t>eam prediction accuracy</w:t>
      </w:r>
      <w:r w:rsidR="009B100F">
        <w:rPr>
          <w:lang w:eastAsia="zh-CN"/>
        </w:rPr>
        <w:t xml:space="preserve"> - </w:t>
      </w:r>
      <w:r w:rsidR="009B100F" w:rsidRPr="009B100F">
        <w:rPr>
          <w:lang w:eastAsia="zh-CN"/>
        </w:rPr>
        <w:t xml:space="preserve">is not applicable if the </w:t>
      </w:r>
      <w:r w:rsidR="009B100F">
        <w:rPr>
          <w:lang w:eastAsia="zh-CN"/>
        </w:rPr>
        <w:t xml:space="preserve">RSRP difference between the </w:t>
      </w:r>
      <w:r w:rsidR="009B100F" w:rsidRPr="009B100F">
        <w:rPr>
          <w:lang w:eastAsia="zh-CN"/>
        </w:rPr>
        <w:t xml:space="preserve">predicted </w:t>
      </w:r>
      <w:r w:rsidR="00A116E1">
        <w:rPr>
          <w:lang w:eastAsia="zh-CN"/>
        </w:rPr>
        <w:t xml:space="preserve">Top-1 </w:t>
      </w:r>
      <w:r w:rsidR="009B100F" w:rsidRPr="009B100F">
        <w:rPr>
          <w:lang w:eastAsia="zh-CN"/>
        </w:rPr>
        <w:t>beam</w:t>
      </w:r>
      <w:r w:rsidR="009B100F">
        <w:rPr>
          <w:lang w:eastAsia="zh-CN"/>
        </w:rPr>
        <w:t xml:space="preserve"> and the genie-aided strongest</w:t>
      </w:r>
      <w:r w:rsidR="009B100F" w:rsidRPr="009B100F">
        <w:rPr>
          <w:lang w:eastAsia="zh-CN"/>
        </w:rPr>
        <w:t xml:space="preserve"> </w:t>
      </w:r>
      <w:r w:rsidR="009B100F">
        <w:rPr>
          <w:lang w:eastAsia="zh-CN"/>
        </w:rPr>
        <w:t>beam</w:t>
      </w:r>
      <w:r w:rsidR="009B100F" w:rsidRPr="009B100F">
        <w:rPr>
          <w:lang w:eastAsia="zh-CN"/>
        </w:rPr>
        <w:t xml:space="preserve"> is within the</w:t>
      </w:r>
      <w:r w:rsidR="009B100F">
        <w:rPr>
          <w:lang w:eastAsia="zh-CN"/>
        </w:rPr>
        <w:t xml:space="preserve"> pre-defined</w:t>
      </w:r>
      <w:r w:rsidR="009B100F" w:rsidRPr="009B100F">
        <w:rPr>
          <w:lang w:eastAsia="zh-CN"/>
        </w:rPr>
        <w:t xml:space="preserve"> tolerance</w:t>
      </w:r>
      <w:r>
        <w:rPr>
          <w:lang w:eastAsia="zh-CN"/>
        </w:rPr>
        <w:t>, though the predicted Top-1 is not the genie-aided Top-1</w:t>
      </w:r>
      <w:r w:rsidR="009B100F">
        <w:rPr>
          <w:lang w:eastAsia="zh-CN"/>
        </w:rPr>
        <w:t>.</w:t>
      </w:r>
      <w:r>
        <w:rPr>
          <w:lang w:eastAsia="zh-CN"/>
        </w:rPr>
        <w:t xml:space="preserve"> </w:t>
      </w:r>
    </w:p>
    <w:p w14:paraId="418E6714" w14:textId="20AA87E8" w:rsidR="00303329" w:rsidRDefault="00303329" w:rsidP="00FE5542">
      <w:pPr>
        <w:spacing w:before="120"/>
        <w:rPr>
          <w:lang w:eastAsia="zh-CN"/>
        </w:rPr>
      </w:pPr>
      <w:r>
        <w:rPr>
          <w:lang w:eastAsia="zh-CN"/>
        </w:rPr>
        <w:t>Since the eventual purpose of introducing AIML-enabled beam management is to select a good-enough beam</w:t>
      </w:r>
      <w:r w:rsidR="00A116E1">
        <w:rPr>
          <w:lang w:eastAsia="zh-CN"/>
        </w:rPr>
        <w:t xml:space="preserve"> for DL transmission</w:t>
      </w:r>
      <w:r>
        <w:rPr>
          <w:lang w:eastAsia="zh-CN"/>
        </w:rPr>
        <w:t xml:space="preserve">, while achieving overhead/latency reduction, </w:t>
      </w:r>
      <w:r w:rsidR="00A116E1">
        <w:rPr>
          <w:lang w:eastAsia="zh-CN"/>
        </w:rPr>
        <w:t xml:space="preserve">the test metric in </w:t>
      </w:r>
      <w:r>
        <w:rPr>
          <w:lang w:eastAsia="zh-CN"/>
        </w:rPr>
        <w:t xml:space="preserve">Option 2 is suggested to be deprioritized. </w:t>
      </w:r>
    </w:p>
    <w:p w14:paraId="3F348543" w14:textId="1F09D9D0" w:rsidR="00303329" w:rsidRPr="00303329" w:rsidRDefault="00303329" w:rsidP="00FE5542">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303329">
        <w:rPr>
          <w:b/>
          <w:i/>
        </w:rPr>
        <w:t>The test metric in Option 2 is not applicable if the beam measurement accuracy tolerance is not considered.</w:t>
      </w:r>
    </w:p>
    <w:p w14:paraId="505BA9AC" w14:textId="5F46EE65" w:rsidR="00FE5542" w:rsidRPr="00FE5542" w:rsidRDefault="00303329" w:rsidP="00FE5542">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Pr>
          <w:b/>
          <w:i/>
        </w:rPr>
        <w:t>For UE-sided beam prediction, deprioritize the test metric of b</w:t>
      </w:r>
      <w:r w:rsidRPr="00303329">
        <w:rPr>
          <w:b/>
          <w:i/>
        </w:rPr>
        <w:t>eam prediction accuracy</w:t>
      </w:r>
      <w:r>
        <w:rPr>
          <w:b/>
          <w:i/>
        </w:rPr>
        <w:t xml:space="preserve"> in Option 2.</w:t>
      </w:r>
    </w:p>
    <w:p w14:paraId="4B8D1E3D" w14:textId="6305A326" w:rsidR="00680719" w:rsidRDefault="000C3F23" w:rsidP="00FE5542">
      <w:pPr>
        <w:pStyle w:val="Heading1"/>
        <w:numPr>
          <w:ilvl w:val="0"/>
          <w:numId w:val="8"/>
        </w:numPr>
        <w:ind w:left="426"/>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0DD7C9AD" w14:textId="4E62CAE4" w:rsidR="002B5288" w:rsidRPr="002B5288" w:rsidRDefault="002B5288" w:rsidP="002B5288">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2B5288">
        <w:t>For NW-sided beam prediction, the requirement of RSRP measurement reporting reuse</w:t>
      </w:r>
      <w:r w:rsidR="00754B94">
        <w:t>s</w:t>
      </w:r>
      <w:r w:rsidRPr="002B5288">
        <w:t xml:space="preserve"> RAN4 legacy.</w:t>
      </w:r>
    </w:p>
    <w:p w14:paraId="5A4F6215" w14:textId="2B78E1D3" w:rsidR="002B5288" w:rsidRPr="002B5288" w:rsidRDefault="002B5288" w:rsidP="002B5288">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2B5288">
        <w:t>For UE-sided beam prediction, take Option 1 as baseline to ensure that the received RSRP is larger than a pre-defined threshold, if TE use</w:t>
      </w:r>
      <w:r w:rsidR="00754B94">
        <w:t>s</w:t>
      </w:r>
      <w:r w:rsidRPr="002B5288">
        <w:t xml:space="preserve"> the predicted beam for DL transmission.</w:t>
      </w:r>
    </w:p>
    <w:p w14:paraId="59BED748" w14:textId="77777777" w:rsidR="002B5288" w:rsidRPr="002B5288" w:rsidRDefault="002B5288" w:rsidP="002B5288">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2B5288">
        <w:t>The test metric in Option 2 is not applicable if the beam measurement accuracy tolerance is not considered.</w:t>
      </w:r>
    </w:p>
    <w:p w14:paraId="1E38C987" w14:textId="3A4AC5C6" w:rsidR="00275345" w:rsidRPr="002B5288" w:rsidRDefault="002B5288" w:rsidP="002B5288">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2B5288">
        <w:t>For UE-sided beam prediction, deprioritize the test metric of beam prediction accuracy in Option 2.</w:t>
      </w:r>
    </w:p>
    <w:p w14:paraId="4AD735CD" w14:textId="4920B2C7" w:rsidR="000C3F23" w:rsidRPr="00C73DC3" w:rsidRDefault="000C3F23" w:rsidP="00FD734D">
      <w:pPr>
        <w:pStyle w:val="Heading1"/>
        <w:ind w:left="6"/>
      </w:pPr>
      <w:r w:rsidRPr="00EE2AB0">
        <w:rPr>
          <w:color w:val="000000"/>
        </w:rPr>
        <w:t>References</w:t>
      </w:r>
    </w:p>
    <w:p w14:paraId="4491F0CE" w14:textId="77777777" w:rsidR="001204FE" w:rsidRDefault="001204FE" w:rsidP="001204FE">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16DA6DED" w:rsidR="002053C1" w:rsidRPr="001204FE" w:rsidRDefault="001204FE" w:rsidP="00FD734D">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4"/>
    </w:p>
    <w:sectPr w:rsidR="002053C1" w:rsidRPr="001204FE"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2484" w14:textId="77777777" w:rsidR="00790E87" w:rsidRDefault="00790E87">
      <w:r>
        <w:separator/>
      </w:r>
    </w:p>
  </w:endnote>
  <w:endnote w:type="continuationSeparator" w:id="0">
    <w:p w14:paraId="349BE35A" w14:textId="77777777" w:rsidR="00790E87" w:rsidRDefault="00790E87">
      <w:r>
        <w:continuationSeparator/>
      </w:r>
    </w:p>
  </w:endnote>
  <w:endnote w:type="continuationNotice" w:id="1">
    <w:p w14:paraId="1A1A647E" w14:textId="77777777" w:rsidR="00790E87" w:rsidRDefault="00790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B8893" w14:textId="77777777" w:rsidR="00790E87" w:rsidRDefault="00790E87">
      <w:r>
        <w:separator/>
      </w:r>
    </w:p>
  </w:footnote>
  <w:footnote w:type="continuationSeparator" w:id="0">
    <w:p w14:paraId="37A9CCD2" w14:textId="77777777" w:rsidR="00790E87" w:rsidRDefault="00790E87">
      <w:r>
        <w:continuationSeparator/>
      </w:r>
    </w:p>
  </w:footnote>
  <w:footnote w:type="continuationNotice" w:id="1">
    <w:p w14:paraId="4F4AFBEE" w14:textId="77777777" w:rsidR="00790E87" w:rsidRDefault="00790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241C58"/>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81E64"/>
    <w:multiLevelType w:val="hybridMultilevel"/>
    <w:tmpl w:val="193EB1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2"/>
  </w:num>
  <w:num w:numId="2">
    <w:abstractNumId w:val="40"/>
  </w:num>
  <w:num w:numId="3">
    <w:abstractNumId w:val="5"/>
  </w:num>
  <w:num w:numId="4">
    <w:abstractNumId w:val="21"/>
  </w:num>
  <w:num w:numId="5">
    <w:abstractNumId w:val="23"/>
  </w:num>
  <w:num w:numId="6">
    <w:abstractNumId w:val="17"/>
  </w:num>
  <w:num w:numId="7">
    <w:abstractNumId w:val="3"/>
  </w:num>
  <w:num w:numId="8">
    <w:abstractNumId w:val="38"/>
  </w:num>
  <w:num w:numId="9">
    <w:abstractNumId w:val="19"/>
  </w:num>
  <w:num w:numId="10">
    <w:abstractNumId w:val="35"/>
  </w:num>
  <w:num w:numId="11">
    <w:abstractNumId w:val="39"/>
  </w:num>
  <w:num w:numId="12">
    <w:abstractNumId w:val="14"/>
  </w:num>
  <w:num w:numId="13">
    <w:abstractNumId w:val="26"/>
  </w:num>
  <w:num w:numId="14">
    <w:abstractNumId w:val="7"/>
  </w:num>
  <w:num w:numId="15">
    <w:abstractNumId w:val="10"/>
  </w:num>
  <w:num w:numId="16">
    <w:abstractNumId w:val="44"/>
  </w:num>
  <w:num w:numId="17">
    <w:abstractNumId w:val="27"/>
  </w:num>
  <w:num w:numId="18">
    <w:abstractNumId w:val="13"/>
  </w:num>
  <w:num w:numId="19">
    <w:abstractNumId w:val="4"/>
  </w:num>
  <w:num w:numId="20">
    <w:abstractNumId w:val="20"/>
  </w:num>
  <w:num w:numId="21">
    <w:abstractNumId w:val="43"/>
  </w:num>
  <w:num w:numId="22">
    <w:abstractNumId w:val="41"/>
  </w:num>
  <w:num w:numId="23">
    <w:abstractNumId w:val="34"/>
  </w:num>
  <w:num w:numId="24">
    <w:abstractNumId w:val="0"/>
  </w:num>
  <w:num w:numId="25">
    <w:abstractNumId w:val="1"/>
  </w:num>
  <w:num w:numId="26">
    <w:abstractNumId w:val="1"/>
  </w:num>
  <w:num w:numId="27">
    <w:abstractNumId w:val="1"/>
  </w:num>
  <w:num w:numId="28">
    <w:abstractNumId w:val="37"/>
  </w:num>
  <w:num w:numId="29">
    <w:abstractNumId w:val="6"/>
  </w:num>
  <w:num w:numId="30">
    <w:abstractNumId w:val="12"/>
  </w:num>
  <w:num w:numId="31">
    <w:abstractNumId w:val="24"/>
  </w:num>
  <w:num w:numId="32">
    <w:abstractNumId w:val="36"/>
  </w:num>
  <w:num w:numId="33">
    <w:abstractNumId w:val="16"/>
  </w:num>
  <w:num w:numId="34">
    <w:abstractNumId w:val="18"/>
  </w:num>
  <w:num w:numId="35">
    <w:abstractNumId w:val="29"/>
  </w:num>
  <w:num w:numId="36">
    <w:abstractNumId w:val="45"/>
  </w:num>
  <w:num w:numId="37">
    <w:abstractNumId w:val="32"/>
  </w:num>
  <w:num w:numId="38">
    <w:abstractNumId w:val="15"/>
  </w:num>
  <w:num w:numId="39">
    <w:abstractNumId w:val="9"/>
  </w:num>
  <w:num w:numId="40">
    <w:abstractNumId w:val="31"/>
  </w:num>
  <w:num w:numId="41">
    <w:abstractNumId w:val="11"/>
  </w:num>
  <w:num w:numId="42">
    <w:abstractNumId w:val="28"/>
  </w:num>
  <w:num w:numId="43">
    <w:abstractNumId w:val="2"/>
  </w:num>
  <w:num w:numId="44">
    <w:abstractNumId w:val="8"/>
  </w:num>
  <w:num w:numId="45">
    <w:abstractNumId w:val="33"/>
  </w:num>
  <w:num w:numId="46">
    <w:abstractNumId w:val="25"/>
  </w:num>
  <w:num w:numId="47">
    <w:abstractNumId w:val="22"/>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42"/>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4FE"/>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30C"/>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7E5"/>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CF0"/>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288"/>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329"/>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0C"/>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BE"/>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5C"/>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D71"/>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4"/>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0E87"/>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848"/>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8A5"/>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04A"/>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1A6"/>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0F"/>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6E1"/>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B84"/>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81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8FC"/>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C77"/>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7DA"/>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CC"/>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5ED"/>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BC"/>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003"/>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063"/>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4EB"/>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2EC"/>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89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42"/>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28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117F1-066A-4931-9349-4367501450B9}">
  <ds:schemaRefs>
    <ds:schemaRef ds:uri="http://schemas.openxmlformats.org/officeDocument/2006/bibliography"/>
  </ds:schemaRefs>
</ds:datastoreItem>
</file>

<file path=customXml/itemProps2.xml><?xml version="1.0" encoding="utf-8"?>
<ds:datastoreItem xmlns:ds="http://schemas.openxmlformats.org/officeDocument/2006/customXml" ds:itemID="{FCCFE198-0F79-49E8-A9EB-8A606C6D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32</cp:revision>
  <cp:lastPrinted>2019-11-08T22:53:00Z</cp:lastPrinted>
  <dcterms:created xsi:type="dcterms:W3CDTF">2023-09-27T13:33:00Z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(3)HEm+x5n5cGHqC/x0hAE+gu62Ow7gbpi0VooJlAwxjbxByRsUwwbpQAGCMpkPqEd7LU23lRRk
dFQonXv50BX1VmrkL7JZcLOlMJYqkPrWbSAEno5gqM+FK2T//rxcxRKJEXfg4BXiRsa/4Aq2
LhADm7XEnn4sMKVv+Xfn74gHGcVoh4UqDxU0LbWstxLw3CjckSBhR0Ojadvav0OPKfA8KmQJ
q/Pa/saxeX4KUkTn7x</vt:lpwstr>
  </property>
  <property fmtid="{D5CDD505-2E9C-101B-9397-08002B2CF9AE}" pid="30" name="_2015_ms_pID_725343_00">
    <vt:lpwstr>_2015_ms_pID_725343</vt:lpwstr>
  </property>
  <property fmtid="{D5CDD505-2E9C-101B-9397-08002B2CF9AE}" pid="31" name="_2015_ms_pID_7253431">
    <vt:lpwstr>RTh2EhPRmSj7I8JUcuV430Zcp28H2ADbmdq6yXw1CH+iL3rAYowh1U
y5JmcJS+KZpyI10X/4dlo84nzMy/wVf/aKd9b/xuofUEqsM5nepO1k2WiDYXSfikNMb5wb/v
3f1RwSgKdmEVqeXC8GOl//KbKY5SEmAiRnH8SX4RTGCuC8h+DaHM3MCFIE7yqMMcHkD6Vdt/
kr+DSSnO7z/OHaIrMdiBKMDkfK7yW+GRjevp</vt:lpwstr>
  </property>
  <property fmtid="{D5CDD505-2E9C-101B-9397-08002B2CF9AE}" pid="32" name="_2015_ms_pID_7253431_00">
    <vt:lpwstr>_2015_ms_pID_7253431</vt:lpwstr>
  </property>
  <property fmtid="{D5CDD505-2E9C-101B-9397-08002B2CF9AE}" pid="33" name="_2015_ms_pID_7253432">
    <vt:lpwstr>39cBcjNRTPjUvsTO8z9+j2RJ+Kb+pfZf92Bf
2mkefVQAqskhecZslgBvAptxKELeNjVGa7WXevS6XsS+gIx1hEc=</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